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04" w:rsidRDefault="00A579F8" w:rsidP="00A366E4">
      <w:pPr>
        <w:jc w:val="both"/>
        <w:rPr>
          <w:rFonts w:ascii="Arial" w:hAnsi="Arial" w:cs="Arial"/>
          <w:b/>
          <w:sz w:val="20"/>
          <w:szCs w:val="20"/>
        </w:rPr>
      </w:pPr>
      <w:r w:rsidRPr="00A579F8">
        <w:rPr>
          <w:rFonts w:ascii="Arial" w:hAnsi="Arial" w:cs="Arial"/>
          <w:b/>
          <w:sz w:val="20"/>
          <w:szCs w:val="20"/>
        </w:rPr>
        <w:t xml:space="preserve">BVB: Extraordinary General Mandate 2020 </w:t>
      </w:r>
    </w:p>
    <w:p w:rsid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  <w:r w:rsidRPr="00D65B84">
        <w:rPr>
          <w:rFonts w:ascii="Arial" w:hAnsi="Arial" w:cs="Arial"/>
          <w:sz w:val="20"/>
          <w:szCs w:val="20"/>
        </w:rPr>
        <w:t>On 26/08/2020, Viet Capital Commercial Joint Stock Bank announced the Extraordinary General Mandate 2020 as follows:</w:t>
      </w: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  <w:r w:rsidRPr="00D65B84">
        <w:rPr>
          <w:rFonts w:ascii="Arial" w:hAnsi="Arial" w:cs="Arial"/>
          <w:sz w:val="20"/>
          <w:szCs w:val="20"/>
        </w:rPr>
        <w:t>Article 1: Approve the share issuance plan (issue for existing Shareholders) according to the submission No. 86/20/TT-HDQT dated 17/08/2020 on approving the share issuance plan to increase the charter capital of Viet Capi</w:t>
      </w:r>
      <w:r w:rsidR="00A059F8">
        <w:rPr>
          <w:rFonts w:ascii="Arial" w:hAnsi="Arial" w:cs="Arial"/>
          <w:sz w:val="20"/>
          <w:szCs w:val="20"/>
        </w:rPr>
        <w:t>tal Commercial Joint Stock Bank</w:t>
      </w:r>
      <w:r w:rsidRPr="00D65B84">
        <w:rPr>
          <w:rFonts w:ascii="Arial" w:hAnsi="Arial" w:cs="Arial"/>
          <w:sz w:val="20"/>
          <w:szCs w:val="20"/>
        </w:rPr>
        <w:t>.</w:t>
      </w: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  <w:r w:rsidRPr="00D65B84">
        <w:rPr>
          <w:rFonts w:ascii="Arial" w:hAnsi="Arial" w:cs="Arial"/>
          <w:sz w:val="20"/>
          <w:szCs w:val="20"/>
        </w:rPr>
        <w:t>Article 2: Approve the share issuance plan according to the Employee Stock Ownership Plan (ESOP) according to the submission No. 86/20/TT-HDQT dated 17/08/2020 on approving the share issuance plan to increase the charter capital of Viet Capi</w:t>
      </w:r>
      <w:r w:rsidR="00A059F8">
        <w:rPr>
          <w:rFonts w:ascii="Arial" w:hAnsi="Arial" w:cs="Arial"/>
          <w:sz w:val="20"/>
          <w:szCs w:val="20"/>
        </w:rPr>
        <w:t>tal Commercial Joint Stock Bank</w:t>
      </w:r>
      <w:r w:rsidRPr="00D65B84">
        <w:rPr>
          <w:rFonts w:ascii="Arial" w:hAnsi="Arial" w:cs="Arial"/>
          <w:sz w:val="20"/>
          <w:szCs w:val="20"/>
        </w:rPr>
        <w:t>.</w:t>
      </w: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  <w:r w:rsidRPr="00D65B84">
        <w:rPr>
          <w:rFonts w:ascii="Arial" w:hAnsi="Arial" w:cs="Arial"/>
          <w:sz w:val="20"/>
          <w:szCs w:val="20"/>
        </w:rPr>
        <w:t>Article 3: Approve the share issuance plan to increase equity from the owner’s capital according to the submission No. 86/20/TT-HDQT dated 17/08/2020 on approving the share issuance plan to increase the charter capital of Viet Capi</w:t>
      </w:r>
      <w:r w:rsidR="00A059F8">
        <w:rPr>
          <w:rFonts w:ascii="Arial" w:hAnsi="Arial" w:cs="Arial"/>
          <w:sz w:val="20"/>
          <w:szCs w:val="20"/>
        </w:rPr>
        <w:t>tal Commercial Joint Stock Bank</w:t>
      </w:r>
      <w:r w:rsidRPr="00D65B84">
        <w:rPr>
          <w:rFonts w:ascii="Arial" w:hAnsi="Arial" w:cs="Arial"/>
          <w:sz w:val="20"/>
          <w:szCs w:val="20"/>
        </w:rPr>
        <w:t>.</w:t>
      </w: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  <w:r w:rsidRPr="00D65B84">
        <w:rPr>
          <w:rFonts w:ascii="Arial" w:hAnsi="Arial" w:cs="Arial"/>
          <w:sz w:val="20"/>
          <w:szCs w:val="20"/>
        </w:rPr>
        <w:t>Article 4: Approve other contents according to the submission No. 86/20/TT-HDQT dated 17/08/2020 of Board of Directors, including authorize Board of Directors to perform capital</w:t>
      </w:r>
      <w:r w:rsidR="00A059F8">
        <w:rPr>
          <w:rFonts w:ascii="Arial" w:hAnsi="Arial" w:cs="Arial"/>
          <w:sz w:val="20"/>
          <w:szCs w:val="20"/>
        </w:rPr>
        <w:t xml:space="preserve"> raising options which approved</w:t>
      </w:r>
      <w:bookmarkStart w:id="0" w:name="_GoBack"/>
      <w:bookmarkEnd w:id="0"/>
      <w:r w:rsidRPr="00D65B84">
        <w:rPr>
          <w:rFonts w:ascii="Arial" w:hAnsi="Arial" w:cs="Arial"/>
          <w:sz w:val="20"/>
          <w:szCs w:val="20"/>
        </w:rPr>
        <w:t>.</w:t>
      </w:r>
    </w:p>
    <w:p w:rsidR="00D65B84" w:rsidRPr="00D65B84" w:rsidRDefault="00D65B84" w:rsidP="00D65B84">
      <w:pPr>
        <w:jc w:val="both"/>
        <w:rPr>
          <w:rFonts w:ascii="Arial" w:hAnsi="Arial" w:cs="Arial"/>
          <w:sz w:val="20"/>
          <w:szCs w:val="20"/>
        </w:rPr>
      </w:pPr>
    </w:p>
    <w:p w:rsidR="00A579F8" w:rsidRDefault="00D65B84" w:rsidP="00D65B84">
      <w:pPr>
        <w:jc w:val="both"/>
        <w:rPr>
          <w:rFonts w:ascii="Arial" w:hAnsi="Arial" w:cs="Arial"/>
          <w:b/>
          <w:sz w:val="20"/>
          <w:szCs w:val="20"/>
        </w:rPr>
      </w:pPr>
      <w:r w:rsidRPr="00D65B84">
        <w:rPr>
          <w:rFonts w:ascii="Arial" w:hAnsi="Arial" w:cs="Arial"/>
          <w:sz w:val="20"/>
          <w:szCs w:val="20"/>
        </w:rPr>
        <w:t>Article 5: Approve the electing result for members of Independent Board of Directors and Specialized Board of Supervisors term 2020-2025 as follows:</w:t>
      </w:r>
    </w:p>
    <w:p w:rsidR="00A366E4" w:rsidRDefault="00A366E4" w:rsidP="00A366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Directors: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410"/>
        <w:gridCol w:w="4819"/>
        <w:gridCol w:w="963"/>
      </w:tblGrid>
      <w:tr w:rsidR="00A366E4" w:rsidTr="00A366E4">
        <w:tc>
          <w:tcPr>
            <w:tcW w:w="664" w:type="dxa"/>
          </w:tcPr>
          <w:p w:rsidR="00A366E4" w:rsidRPr="00A366E4" w:rsidRDefault="00A366E4" w:rsidP="00A366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6E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A366E4" w:rsidRPr="00A366E4" w:rsidRDefault="00A366E4" w:rsidP="00A366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6E4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819" w:type="dxa"/>
          </w:tcPr>
          <w:p w:rsidR="00A366E4" w:rsidRPr="00A366E4" w:rsidRDefault="00A366E4" w:rsidP="00A366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6E4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963" w:type="dxa"/>
          </w:tcPr>
          <w:p w:rsidR="00A366E4" w:rsidRPr="00A366E4" w:rsidRDefault="00A366E4" w:rsidP="00A366E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</w:t>
            </w:r>
          </w:p>
        </w:tc>
      </w:tr>
      <w:tr w:rsidR="00A366E4" w:rsidTr="00A366E4">
        <w:tc>
          <w:tcPr>
            <w:tcW w:w="664" w:type="dxa"/>
          </w:tcPr>
          <w:p w:rsidR="00A366E4" w:rsidRDefault="00A366E4" w:rsidP="00A366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6E4" w:rsidRDefault="00A366E4" w:rsidP="00A366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4819" w:type="dxa"/>
          </w:tcPr>
          <w:p w:rsidR="00A366E4" w:rsidRDefault="00A366E4" w:rsidP="00A366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Independent Board of Directors </w:t>
            </w:r>
          </w:p>
        </w:tc>
        <w:tc>
          <w:tcPr>
            <w:tcW w:w="963" w:type="dxa"/>
          </w:tcPr>
          <w:p w:rsidR="00A366E4" w:rsidRDefault="00A366E4" w:rsidP="00A366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A366E4" w:rsidRDefault="00A366E4" w:rsidP="00A366E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A366E4" w:rsidRPr="00A366E4" w:rsidRDefault="00A366E4" w:rsidP="00A366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Supervisors: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410"/>
        <w:gridCol w:w="4819"/>
        <w:gridCol w:w="963"/>
      </w:tblGrid>
      <w:tr w:rsidR="00A366E4" w:rsidRPr="00A366E4" w:rsidTr="00A366E4">
        <w:tc>
          <w:tcPr>
            <w:tcW w:w="664" w:type="dxa"/>
          </w:tcPr>
          <w:p w:rsidR="00A366E4" w:rsidRPr="00A366E4" w:rsidRDefault="00A366E4" w:rsidP="00702B7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6E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A366E4" w:rsidRPr="00A366E4" w:rsidRDefault="00A366E4" w:rsidP="00702B7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6E4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819" w:type="dxa"/>
          </w:tcPr>
          <w:p w:rsidR="00A366E4" w:rsidRPr="00A366E4" w:rsidRDefault="00A366E4" w:rsidP="00702B7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6E4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963" w:type="dxa"/>
          </w:tcPr>
          <w:p w:rsidR="00A366E4" w:rsidRPr="00A366E4" w:rsidRDefault="00A366E4" w:rsidP="00702B7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</w:t>
            </w:r>
          </w:p>
        </w:tc>
      </w:tr>
      <w:tr w:rsidR="00A366E4" w:rsidTr="00A366E4">
        <w:tc>
          <w:tcPr>
            <w:tcW w:w="664" w:type="dxa"/>
          </w:tcPr>
          <w:p w:rsidR="00A366E4" w:rsidRDefault="00A366E4" w:rsidP="00702B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6E4" w:rsidRDefault="00A366E4" w:rsidP="00A366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Nguyen Thi Thanh Thuy</w:t>
            </w:r>
          </w:p>
        </w:tc>
        <w:tc>
          <w:tcPr>
            <w:tcW w:w="4819" w:type="dxa"/>
          </w:tcPr>
          <w:p w:rsidR="00A366E4" w:rsidRDefault="00A366E4" w:rsidP="00A366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Specialized Board of Supervisors </w:t>
            </w:r>
          </w:p>
        </w:tc>
        <w:tc>
          <w:tcPr>
            <w:tcW w:w="963" w:type="dxa"/>
          </w:tcPr>
          <w:p w:rsidR="00A366E4" w:rsidRDefault="00A366E4" w:rsidP="00702B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A366E4" w:rsidRDefault="00A366E4" w:rsidP="003D36A4">
      <w:pPr>
        <w:rPr>
          <w:rFonts w:ascii="Arial" w:hAnsi="Arial" w:cs="Arial"/>
          <w:sz w:val="20"/>
          <w:szCs w:val="20"/>
        </w:rPr>
      </w:pPr>
    </w:p>
    <w:p w:rsidR="00A366E4" w:rsidRDefault="00A366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Responsibility to perform this Mandate</w:t>
      </w:r>
    </w:p>
    <w:p w:rsidR="00DA0A22" w:rsidRDefault="00DA0A22">
      <w:pPr>
        <w:rPr>
          <w:rFonts w:ascii="Arial" w:hAnsi="Arial" w:cs="Arial"/>
          <w:sz w:val="20"/>
          <w:szCs w:val="20"/>
        </w:rPr>
      </w:pPr>
    </w:p>
    <w:p w:rsidR="00A366E4" w:rsidRDefault="00DA0A22">
      <w:pPr>
        <w:rPr>
          <w:rFonts w:ascii="Arial" w:hAnsi="Arial" w:cs="Arial"/>
          <w:sz w:val="20"/>
          <w:szCs w:val="20"/>
        </w:rPr>
      </w:pPr>
      <w:r w:rsidRPr="00DA0A22">
        <w:rPr>
          <w:rFonts w:ascii="Arial" w:hAnsi="Arial" w:cs="Arial"/>
          <w:sz w:val="20"/>
          <w:szCs w:val="20"/>
        </w:rPr>
        <w:t xml:space="preserve">The General Meeting of Shareholders authorized Board of Directors, Board of Supervisors and Executive Board of Viet Capital Commercial Joint Stock Bank to disseminate and perform approved contents </w:t>
      </w:r>
      <w:r w:rsidR="0062428F" w:rsidRPr="0062428F">
        <w:rPr>
          <w:rFonts w:ascii="Arial" w:hAnsi="Arial" w:cs="Arial"/>
          <w:sz w:val="20"/>
          <w:szCs w:val="20"/>
        </w:rPr>
        <w:t xml:space="preserve">mentioned </w:t>
      </w:r>
      <w:r w:rsidRPr="00DA0A22">
        <w:rPr>
          <w:rFonts w:ascii="Arial" w:hAnsi="Arial" w:cs="Arial"/>
          <w:sz w:val="20"/>
          <w:szCs w:val="20"/>
        </w:rPr>
        <w:t>in this Mandate</w:t>
      </w:r>
      <w:r>
        <w:rPr>
          <w:rFonts w:ascii="Arial" w:hAnsi="Arial" w:cs="Arial"/>
          <w:sz w:val="20"/>
          <w:szCs w:val="20"/>
        </w:rPr>
        <w:t>.</w:t>
      </w:r>
    </w:p>
    <w:p w:rsidR="00DA0A22" w:rsidRDefault="00DA0A22">
      <w:pPr>
        <w:rPr>
          <w:rFonts w:ascii="Arial" w:hAnsi="Arial" w:cs="Arial"/>
          <w:sz w:val="20"/>
          <w:szCs w:val="20"/>
        </w:rPr>
      </w:pPr>
    </w:p>
    <w:p w:rsidR="00A366E4" w:rsidRDefault="00A366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Implementation:</w:t>
      </w:r>
    </w:p>
    <w:p w:rsidR="00A366E4" w:rsidRDefault="00A366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Mandate took effect from 26/08/2020</w:t>
      </w:r>
    </w:p>
    <w:p w:rsidR="00A366E4" w:rsidRPr="00A579F8" w:rsidRDefault="00A366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Directors has responsibility to report the situation and result of performing contents of this Mandate in the next annual Meeting.</w:t>
      </w:r>
    </w:p>
    <w:sectPr w:rsidR="00A366E4" w:rsidRPr="00A579F8" w:rsidSect="00CA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13B6"/>
    <w:multiLevelType w:val="hybridMultilevel"/>
    <w:tmpl w:val="F144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9F8"/>
    <w:rsid w:val="002569E9"/>
    <w:rsid w:val="003D36A4"/>
    <w:rsid w:val="0062428F"/>
    <w:rsid w:val="00A059F8"/>
    <w:rsid w:val="00A366E4"/>
    <w:rsid w:val="00A579F8"/>
    <w:rsid w:val="00CA1F04"/>
    <w:rsid w:val="00D65B84"/>
    <w:rsid w:val="00D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865F"/>
  <w15:docId w15:val="{171D4812-1002-49B3-8513-3D054EB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E4"/>
    <w:pPr>
      <w:ind w:left="720"/>
      <w:contextualSpacing/>
    </w:pPr>
  </w:style>
  <w:style w:type="table" w:styleId="TableGrid">
    <w:name w:val="Table Grid"/>
    <w:basedOn w:val="TableNormal"/>
    <w:uiPriority w:val="59"/>
    <w:rsid w:val="00A366E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Bui Thanh Hai</cp:lastModifiedBy>
  <cp:revision>5</cp:revision>
  <dcterms:created xsi:type="dcterms:W3CDTF">2020-09-01T06:09:00Z</dcterms:created>
  <dcterms:modified xsi:type="dcterms:W3CDTF">2020-09-04T09:10:00Z</dcterms:modified>
</cp:coreProperties>
</file>